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F9" w:rsidRPr="00B56FF9" w:rsidRDefault="00B56FF9" w:rsidP="00B56FF9">
      <w:pPr>
        <w:jc w:val="center"/>
        <w:rPr>
          <w:rFonts w:ascii="Arial" w:hAnsi="Arial" w:cs="Arial"/>
          <w:b/>
          <w:sz w:val="28"/>
          <w:szCs w:val="28"/>
        </w:rPr>
      </w:pPr>
      <w:bookmarkStart w:id="0" w:name="_GoBack"/>
      <w:bookmarkEnd w:id="0"/>
      <w:r w:rsidRPr="00B56FF9">
        <w:rPr>
          <w:rFonts w:ascii="Arial" w:hAnsi="Arial" w:cs="Arial"/>
          <w:b/>
          <w:sz w:val="28"/>
          <w:szCs w:val="28"/>
        </w:rPr>
        <w:t>Tools for Managing Civilian Employees</w:t>
      </w:r>
    </w:p>
    <w:p w:rsidR="00B56FF9" w:rsidRPr="00B56FF9" w:rsidRDefault="00B56FF9">
      <w:pPr>
        <w:rPr>
          <w:rFonts w:ascii="Arial" w:hAnsi="Arial" w:cs="Arial"/>
          <w:b/>
          <w:sz w:val="22"/>
        </w:rPr>
      </w:pPr>
    </w:p>
    <w:p w:rsidR="00B56FF9" w:rsidRPr="00B56FF9" w:rsidRDefault="00B56FF9">
      <w:pPr>
        <w:rPr>
          <w:rFonts w:ascii="Arial" w:hAnsi="Arial" w:cs="Arial"/>
          <w:b/>
          <w:sz w:val="22"/>
        </w:rPr>
      </w:pPr>
      <w:r w:rsidRPr="00B56FF9">
        <w:rPr>
          <w:rFonts w:ascii="Arial" w:hAnsi="Arial" w:cs="Arial"/>
          <w:noProof/>
          <w:sz w:val="22"/>
          <w:lang w:val="en-CA" w:eastAsia="en-CA"/>
        </w:rPr>
        <w:drawing>
          <wp:inline distT="0" distB="0" distL="0" distR="0" wp14:anchorId="4A36FD47" wp14:editId="09D16852">
            <wp:extent cx="5765800" cy="8267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816" t="54823" r="1176"/>
                    <a:stretch/>
                  </pic:blipFill>
                  <pic:spPr bwMode="auto">
                    <a:xfrm>
                      <a:off x="0" y="0"/>
                      <a:ext cx="5765800" cy="826770"/>
                    </a:xfrm>
                    <a:prstGeom prst="rect">
                      <a:avLst/>
                    </a:prstGeom>
                    <a:ln>
                      <a:noFill/>
                    </a:ln>
                    <a:extLst>
                      <a:ext uri="{53640926-AAD7-44D8-BBD7-CCE9431645EC}">
                        <a14:shadowObscured xmlns:a14="http://schemas.microsoft.com/office/drawing/2010/main"/>
                      </a:ext>
                    </a:extLst>
                  </pic:spPr>
                </pic:pic>
              </a:graphicData>
            </a:graphic>
          </wp:inline>
        </w:drawing>
      </w:r>
    </w:p>
    <w:p w:rsidR="00B56FF9" w:rsidRPr="00B56FF9" w:rsidRDefault="00B56FF9">
      <w:pPr>
        <w:rPr>
          <w:rFonts w:ascii="Arial" w:hAnsi="Arial" w:cs="Arial"/>
          <w:b/>
          <w:sz w:val="22"/>
        </w:rPr>
      </w:pPr>
    </w:p>
    <w:p w:rsidR="00B56FF9" w:rsidRPr="00B56FF9" w:rsidRDefault="00B56FF9" w:rsidP="00B56FF9">
      <w:pPr>
        <w:ind w:left="3261"/>
        <w:rPr>
          <w:rFonts w:ascii="Arial" w:hAnsi="Arial" w:cs="Arial"/>
          <w:sz w:val="22"/>
        </w:rPr>
      </w:pPr>
      <w:r w:rsidRPr="00B56FF9">
        <w:rPr>
          <w:rFonts w:ascii="Arial" w:hAnsi="Arial" w:cs="Arial"/>
          <w:noProof/>
          <w:sz w:val="22"/>
          <w:lang w:val="en-CA" w:eastAsia="en-CA"/>
        </w:rPr>
        <w:drawing>
          <wp:anchor distT="0" distB="0" distL="114300" distR="114300" simplePos="0" relativeHeight="251658240" behindDoc="1" locked="0" layoutInCell="1" allowOverlap="1">
            <wp:simplePos x="0" y="0"/>
            <wp:positionH relativeFrom="margin">
              <wp:align>left</wp:align>
            </wp:positionH>
            <wp:positionV relativeFrom="paragraph">
              <wp:posOffset>10160</wp:posOffset>
            </wp:positionV>
            <wp:extent cx="1841500" cy="2812415"/>
            <wp:effectExtent l="0" t="0" r="6350" b="6985"/>
            <wp:wrapTight wrapText="bothSides">
              <wp:wrapPolygon edited="0">
                <wp:start x="0" y="0"/>
                <wp:lineTo x="0" y="21507"/>
                <wp:lineTo x="21451" y="21507"/>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4102" t="9498" r="56731" b="11301"/>
                    <a:stretch/>
                  </pic:blipFill>
                  <pic:spPr bwMode="auto">
                    <a:xfrm>
                      <a:off x="0" y="0"/>
                      <a:ext cx="1843503" cy="281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6FF9" w:rsidRPr="00B56FF9" w:rsidRDefault="00B56FF9" w:rsidP="00B56FF9">
      <w:pPr>
        <w:ind w:left="3261"/>
        <w:rPr>
          <w:rFonts w:ascii="Arial" w:hAnsi="Arial" w:cs="Arial"/>
          <w:sz w:val="22"/>
        </w:rPr>
      </w:pPr>
      <w:r w:rsidRPr="00B56FF9">
        <w:rPr>
          <w:rFonts w:ascii="Arial" w:hAnsi="Arial" w:cs="Arial"/>
          <w:sz w:val="22"/>
        </w:rPr>
        <w:t>The ADM HR-Civ Website provides information geared specifically to managers on a variety of HR subjects:</w:t>
      </w:r>
      <w:r w:rsidRPr="00B56FF9">
        <w:rPr>
          <w:rFonts w:ascii="Arial" w:hAnsi="Arial" w:cs="Arial"/>
          <w:b/>
          <w:sz w:val="22"/>
        </w:rPr>
        <w:t xml:space="preserve"> </w:t>
      </w:r>
    </w:p>
    <w:p w:rsidR="00B56FF9" w:rsidRPr="00B56FF9" w:rsidRDefault="00A016E2" w:rsidP="00B56FF9">
      <w:pPr>
        <w:ind w:left="3261"/>
        <w:rPr>
          <w:rFonts w:ascii="Arial" w:eastAsiaTheme="minorEastAsia" w:hAnsi="Arial" w:cs="Arial"/>
          <w:color w:val="000000"/>
          <w:kern w:val="24"/>
          <w:sz w:val="22"/>
        </w:rPr>
      </w:pPr>
      <w:hyperlink r:id="rId7" w:history="1">
        <w:r w:rsidR="00B56FF9" w:rsidRPr="00B56FF9">
          <w:rPr>
            <w:rStyle w:val="Hyperlink"/>
            <w:rFonts w:ascii="Arial" w:eastAsiaTheme="minorEastAsia" w:hAnsi="Arial" w:cs="Arial"/>
            <w:kern w:val="24"/>
            <w:sz w:val="22"/>
          </w:rPr>
          <w:t>http://hrciv-rhciv.mil.ca/en/index.page</w:t>
        </w:r>
      </w:hyperlink>
      <w:r w:rsidR="00B56FF9" w:rsidRPr="00B56FF9">
        <w:rPr>
          <w:rFonts w:ascii="Arial" w:eastAsiaTheme="minorEastAsia" w:hAnsi="Arial" w:cs="Arial"/>
          <w:color w:val="000000"/>
          <w:kern w:val="24"/>
          <w:sz w:val="22"/>
        </w:rPr>
        <w:t xml:space="preserve">   </w:t>
      </w:r>
    </w:p>
    <w:p w:rsidR="00B56FF9" w:rsidRPr="00B56FF9" w:rsidRDefault="00B56FF9" w:rsidP="00B56FF9">
      <w:pPr>
        <w:ind w:left="3261"/>
        <w:rPr>
          <w:rFonts w:ascii="Arial" w:eastAsiaTheme="minorEastAsia" w:hAnsi="Arial" w:cs="Arial"/>
          <w:color w:val="000000"/>
          <w:kern w:val="24"/>
          <w:sz w:val="22"/>
        </w:rPr>
      </w:pPr>
    </w:p>
    <w:p w:rsidR="00B56FF9" w:rsidRPr="00B56FF9" w:rsidRDefault="00B56FF9" w:rsidP="00B56FF9">
      <w:pPr>
        <w:ind w:left="3261"/>
        <w:rPr>
          <w:rFonts w:ascii="Arial" w:eastAsia="Times New Roman" w:hAnsi="Arial" w:cs="Arial"/>
          <w:sz w:val="22"/>
          <w:lang w:val="en" w:eastAsia="en-CA"/>
        </w:rPr>
      </w:pPr>
    </w:p>
    <w:p w:rsidR="00B56FF9" w:rsidRPr="00B56FF9" w:rsidRDefault="00B56FF9" w:rsidP="00B56FF9">
      <w:pPr>
        <w:ind w:left="3261"/>
        <w:rPr>
          <w:rFonts w:ascii="Arial" w:eastAsia="Times New Roman" w:hAnsi="Arial" w:cs="Arial"/>
          <w:sz w:val="22"/>
          <w:lang w:val="en" w:eastAsia="en-CA"/>
        </w:rPr>
      </w:pPr>
      <w:proofErr w:type="gramStart"/>
      <w:r w:rsidRPr="00B56FF9">
        <w:rPr>
          <w:rFonts w:ascii="Arial" w:eastAsia="Times New Roman" w:hAnsi="Arial" w:cs="Arial"/>
          <w:sz w:val="22"/>
          <w:lang w:val="en" w:eastAsia="en-CA"/>
        </w:rPr>
        <w:t>ADM(</w:t>
      </w:r>
      <w:proofErr w:type="gramEnd"/>
      <w:r w:rsidRPr="00B56FF9">
        <w:rPr>
          <w:rFonts w:ascii="Arial" w:eastAsia="Times New Roman" w:hAnsi="Arial" w:cs="Arial"/>
          <w:sz w:val="22"/>
          <w:lang w:val="en" w:eastAsia="en-CA"/>
        </w:rPr>
        <w:t>HR-Civ) offers multiple ways to access our services:</w:t>
      </w:r>
    </w:p>
    <w:p w:rsidR="00B56FF9" w:rsidRPr="00B56FF9" w:rsidRDefault="00B56FF9" w:rsidP="00B56FF9">
      <w:pPr>
        <w:ind w:left="3261"/>
        <w:rPr>
          <w:rFonts w:ascii="Arial" w:eastAsia="Times New Roman" w:hAnsi="Arial" w:cs="Arial"/>
          <w:sz w:val="22"/>
          <w:lang w:val="en" w:eastAsia="en-CA"/>
        </w:rPr>
      </w:pPr>
    </w:p>
    <w:p w:rsidR="00B56FF9" w:rsidRPr="00B56FF9" w:rsidRDefault="00B56FF9" w:rsidP="00B56FF9">
      <w:pPr>
        <w:ind w:left="3261"/>
        <w:rPr>
          <w:rFonts w:ascii="Arial" w:eastAsia="Times New Roman" w:hAnsi="Arial" w:cs="Arial"/>
          <w:sz w:val="22"/>
          <w:lang w:val="en" w:eastAsia="en-CA"/>
        </w:rPr>
      </w:pPr>
    </w:p>
    <w:p w:rsidR="00B56FF9" w:rsidRPr="00B56FF9" w:rsidRDefault="00A016E2" w:rsidP="00B56FF9">
      <w:pPr>
        <w:ind w:left="3261"/>
        <w:rPr>
          <w:rFonts w:ascii="Arial" w:eastAsia="Times New Roman" w:hAnsi="Arial" w:cs="Arial"/>
          <w:sz w:val="22"/>
          <w:lang w:val="en" w:eastAsia="en-CA"/>
        </w:rPr>
      </w:pPr>
      <w:hyperlink r:id="rId8" w:history="1">
        <w:proofErr w:type="spellStart"/>
        <w:r w:rsidR="00B56FF9" w:rsidRPr="00B56FF9">
          <w:rPr>
            <w:rFonts w:ascii="Arial" w:eastAsia="Times New Roman" w:hAnsi="Arial" w:cs="Arial"/>
            <w:b/>
            <w:bCs/>
            <w:color w:val="0000FF"/>
            <w:sz w:val="22"/>
            <w:u w:val="single"/>
            <w:lang w:val="en" w:eastAsia="en-CA"/>
          </w:rPr>
          <w:t>Centres</w:t>
        </w:r>
        <w:proofErr w:type="spellEnd"/>
        <w:r w:rsidR="00B56FF9" w:rsidRPr="00B56FF9">
          <w:rPr>
            <w:rFonts w:ascii="Arial" w:eastAsia="Times New Roman" w:hAnsi="Arial" w:cs="Arial"/>
            <w:b/>
            <w:bCs/>
            <w:color w:val="0000FF"/>
            <w:sz w:val="22"/>
            <w:u w:val="single"/>
            <w:lang w:val="en" w:eastAsia="en-CA"/>
          </w:rPr>
          <w:t xml:space="preserve"> of Expertise (COEs)</w:t>
        </w:r>
      </w:hyperlink>
      <w:r w:rsidR="00B56FF9" w:rsidRPr="00B56FF9">
        <w:rPr>
          <w:rFonts w:ascii="Arial" w:eastAsia="Times New Roman" w:hAnsi="Arial" w:cs="Arial"/>
          <w:b/>
          <w:bCs/>
          <w:sz w:val="22"/>
          <w:lang w:val="en" w:eastAsia="en-CA"/>
        </w:rPr>
        <w:t xml:space="preserve"> </w:t>
      </w:r>
      <w:r w:rsidR="00B56FF9" w:rsidRPr="00B56FF9">
        <w:rPr>
          <w:rFonts w:ascii="Arial" w:eastAsia="Times New Roman" w:hAnsi="Arial" w:cs="Arial"/>
          <w:b/>
          <w:bCs/>
          <w:sz w:val="22"/>
          <w:lang w:val="en" w:eastAsia="en-CA"/>
        </w:rPr>
        <w:tab/>
      </w:r>
      <w:r w:rsidR="00B56FF9" w:rsidRPr="00B56FF9">
        <w:rPr>
          <w:rFonts w:ascii="Arial" w:hAnsi="Arial" w:cs="Arial"/>
          <w:sz w:val="22"/>
        </w:rPr>
        <w:t xml:space="preserve">  </w:t>
      </w:r>
    </w:p>
    <w:p w:rsidR="00B56FF9" w:rsidRPr="00B56FF9" w:rsidRDefault="00B56FF9" w:rsidP="00B56FF9">
      <w:pPr>
        <w:spacing w:before="100" w:beforeAutospacing="1" w:after="100" w:afterAutospacing="1"/>
        <w:ind w:left="3261"/>
        <w:rPr>
          <w:rFonts w:ascii="Arial" w:eastAsia="Times New Roman" w:hAnsi="Arial" w:cs="Arial"/>
          <w:sz w:val="22"/>
          <w:lang w:val="en" w:eastAsia="en-CA"/>
        </w:rPr>
      </w:pPr>
      <w:r w:rsidRPr="00B56FF9">
        <w:rPr>
          <w:rFonts w:ascii="Arial" w:eastAsia="Times New Roman" w:hAnsi="Arial" w:cs="Arial"/>
          <w:sz w:val="22"/>
          <w:lang w:val="en" w:eastAsia="en-CA"/>
        </w:rPr>
        <w:t xml:space="preserve">If you are trying to contact someone within a specific COE such as staffing, classification, compensation, etc., browse through our list of COE contacts which organized by teams and/or by L1. </w:t>
      </w:r>
    </w:p>
    <w:p w:rsidR="00B56FF9" w:rsidRPr="00B56FF9" w:rsidRDefault="00B56FF9">
      <w:pPr>
        <w:rPr>
          <w:rFonts w:ascii="Arial" w:hAnsi="Arial" w:cs="Arial"/>
          <w:b/>
          <w:sz w:val="22"/>
          <w:lang w:val="en"/>
        </w:rPr>
      </w:pPr>
    </w:p>
    <w:p w:rsidR="00B56FF9" w:rsidRPr="00B56FF9" w:rsidRDefault="00B56FF9">
      <w:pPr>
        <w:rPr>
          <w:rFonts w:ascii="Arial" w:hAnsi="Arial" w:cs="Arial"/>
          <w:b/>
          <w:sz w:val="22"/>
          <w:lang w:val="en"/>
        </w:rPr>
      </w:pPr>
    </w:p>
    <w:p w:rsidR="00B56FF9" w:rsidRPr="00B56FF9" w:rsidRDefault="00B56FF9" w:rsidP="00B56FF9">
      <w:pPr>
        <w:spacing w:before="100" w:beforeAutospacing="1" w:after="100" w:afterAutospacing="1"/>
        <w:rPr>
          <w:rFonts w:ascii="Arial" w:eastAsia="Times New Roman" w:hAnsi="Arial" w:cs="Arial"/>
          <w:b/>
          <w:bCs/>
          <w:sz w:val="22"/>
          <w:lang w:val="en" w:eastAsia="en-CA"/>
        </w:rPr>
      </w:pPr>
      <w:r w:rsidRPr="00B56FF9">
        <w:rPr>
          <w:rFonts w:ascii="Arial" w:hAnsi="Arial" w:cs="Arial"/>
          <w:noProof/>
          <w:sz w:val="22"/>
          <w:lang w:val="en-CA" w:eastAsia="en-CA"/>
        </w:rPr>
        <w:drawing>
          <wp:anchor distT="0" distB="0" distL="114300" distR="114300" simplePos="0" relativeHeight="251659264" behindDoc="1" locked="0" layoutInCell="1" allowOverlap="1">
            <wp:simplePos x="0" y="0"/>
            <wp:positionH relativeFrom="column">
              <wp:posOffset>4292600</wp:posOffset>
            </wp:positionH>
            <wp:positionV relativeFrom="paragraph">
              <wp:posOffset>48260</wp:posOffset>
            </wp:positionV>
            <wp:extent cx="1444625" cy="1430655"/>
            <wp:effectExtent l="0" t="0" r="3175" b="0"/>
            <wp:wrapTight wrapText="bothSides">
              <wp:wrapPolygon edited="0">
                <wp:start x="0" y="0"/>
                <wp:lineTo x="0" y="21284"/>
                <wp:lineTo x="21363" y="21284"/>
                <wp:lineTo x="213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4625" cy="1430655"/>
                    </a:xfrm>
                    <a:prstGeom prst="rect">
                      <a:avLst/>
                    </a:prstGeom>
                  </pic:spPr>
                </pic:pic>
              </a:graphicData>
            </a:graphic>
            <wp14:sizeRelH relativeFrom="page">
              <wp14:pctWidth>0</wp14:pctWidth>
            </wp14:sizeRelH>
            <wp14:sizeRelV relativeFrom="page">
              <wp14:pctHeight>0</wp14:pctHeight>
            </wp14:sizeRelV>
          </wp:anchor>
        </w:drawing>
      </w:r>
      <w:hyperlink r:id="rId10" w:history="1">
        <w:r w:rsidRPr="00B56FF9">
          <w:rPr>
            <w:rFonts w:ascii="Arial" w:eastAsia="Times New Roman" w:hAnsi="Arial" w:cs="Arial"/>
            <w:b/>
            <w:bCs/>
            <w:color w:val="0000FF"/>
            <w:sz w:val="22"/>
            <w:u w:val="single"/>
            <w:lang w:val="en" w:eastAsia="en-CA"/>
          </w:rPr>
          <w:t>HR GO RH</w:t>
        </w:r>
      </w:hyperlink>
      <w:r w:rsidRPr="00B56FF9">
        <w:rPr>
          <w:rFonts w:ascii="Arial" w:eastAsia="Times New Roman" w:hAnsi="Arial" w:cs="Arial"/>
          <w:b/>
          <w:bCs/>
          <w:sz w:val="22"/>
          <w:lang w:val="en" w:eastAsia="en-CA"/>
        </w:rPr>
        <w:t xml:space="preserve">   </w:t>
      </w:r>
    </w:p>
    <w:p w:rsidR="00B56FF9" w:rsidRPr="00B56FF9" w:rsidRDefault="00B56FF9" w:rsidP="00B56FF9">
      <w:pPr>
        <w:spacing w:before="100" w:beforeAutospacing="1" w:after="100" w:afterAutospacing="1"/>
        <w:rPr>
          <w:rFonts w:ascii="Arial" w:eastAsia="Times New Roman" w:hAnsi="Arial" w:cs="Arial"/>
          <w:sz w:val="22"/>
          <w:lang w:val="en" w:eastAsia="en-CA"/>
        </w:rPr>
      </w:pPr>
      <w:r w:rsidRPr="00B56FF9">
        <w:rPr>
          <w:rFonts w:ascii="Arial" w:eastAsia="Times New Roman" w:hAnsi="Arial" w:cs="Arial"/>
          <w:sz w:val="22"/>
          <w:lang w:val="en" w:eastAsia="en-CA"/>
        </w:rPr>
        <w:t>HR GO RH, HR-</w:t>
      </w:r>
      <w:proofErr w:type="spellStart"/>
      <w:r w:rsidRPr="00B56FF9">
        <w:rPr>
          <w:rFonts w:ascii="Arial" w:eastAsia="Times New Roman" w:hAnsi="Arial" w:cs="Arial"/>
          <w:sz w:val="22"/>
          <w:lang w:val="en" w:eastAsia="en-CA"/>
        </w:rPr>
        <w:t>Civ’s</w:t>
      </w:r>
      <w:proofErr w:type="spellEnd"/>
      <w:r w:rsidRPr="00B56FF9">
        <w:rPr>
          <w:rFonts w:ascii="Arial" w:eastAsia="Times New Roman" w:hAnsi="Arial" w:cs="Arial"/>
          <w:sz w:val="22"/>
          <w:lang w:val="en" w:eastAsia="en-CA"/>
        </w:rPr>
        <w:t xml:space="preserve"> mobile app, puts civilian HR information and tools at your fingertips.</w:t>
      </w:r>
    </w:p>
    <w:p w:rsidR="00B56FF9" w:rsidRPr="00B56FF9" w:rsidRDefault="00B56FF9" w:rsidP="00B56FF9">
      <w:pPr>
        <w:spacing w:before="100" w:beforeAutospacing="1" w:after="100" w:afterAutospacing="1"/>
        <w:rPr>
          <w:rFonts w:ascii="Arial" w:hAnsi="Arial" w:cs="Arial"/>
          <w:noProof/>
          <w:color w:val="0000FF"/>
          <w:sz w:val="22"/>
          <w:lang w:val="en-CA" w:eastAsia="en-CA"/>
        </w:rPr>
      </w:pPr>
      <w:r w:rsidRPr="00B56FF9">
        <w:rPr>
          <w:rFonts w:ascii="Arial" w:eastAsia="Times New Roman" w:hAnsi="Arial" w:cs="Arial"/>
          <w:sz w:val="22"/>
          <w:lang w:val="en" w:eastAsia="en-CA"/>
        </w:rPr>
        <w:t xml:space="preserve">Download today through Apple’s App Store or Google Play.                 </w:t>
      </w:r>
      <w:r w:rsidRPr="00B56FF9">
        <w:rPr>
          <w:rFonts w:ascii="Arial" w:hAnsi="Arial" w:cs="Arial"/>
          <w:noProof/>
          <w:color w:val="0000FF"/>
          <w:sz w:val="22"/>
          <w:lang w:val="en-CA" w:eastAsia="en-CA"/>
        </w:rPr>
        <w:t xml:space="preserve"> </w:t>
      </w:r>
    </w:p>
    <w:p w:rsidR="00B56FF9" w:rsidRPr="00B56FF9" w:rsidRDefault="00B56FF9" w:rsidP="00B56FF9">
      <w:pPr>
        <w:spacing w:before="100" w:beforeAutospacing="1" w:after="100" w:afterAutospacing="1"/>
        <w:rPr>
          <w:rFonts w:ascii="Arial" w:eastAsia="Times New Roman" w:hAnsi="Arial" w:cs="Arial"/>
          <w:sz w:val="22"/>
          <w:lang w:val="en" w:eastAsia="en-CA"/>
        </w:rPr>
      </w:pPr>
    </w:p>
    <w:p w:rsidR="00B56FF9" w:rsidRPr="00B56FF9" w:rsidRDefault="00B56FF9" w:rsidP="00B56FF9">
      <w:pPr>
        <w:spacing w:before="100" w:beforeAutospacing="1" w:after="100" w:afterAutospacing="1"/>
        <w:rPr>
          <w:rFonts w:ascii="Arial" w:eastAsia="Times New Roman" w:hAnsi="Arial" w:cs="Arial"/>
          <w:sz w:val="22"/>
          <w:lang w:val="en" w:eastAsia="en-CA"/>
        </w:rPr>
      </w:pPr>
      <w:r w:rsidRPr="00B56FF9">
        <w:rPr>
          <w:rFonts w:ascii="Arial" w:hAnsi="Arial" w:cs="Arial"/>
          <w:noProof/>
          <w:sz w:val="22"/>
          <w:lang w:val="en-CA" w:eastAsia="en-CA"/>
        </w:rPr>
        <w:drawing>
          <wp:anchor distT="0" distB="0" distL="114300" distR="114300" simplePos="0" relativeHeight="251660288" behindDoc="1" locked="0" layoutInCell="1" allowOverlap="1">
            <wp:simplePos x="0" y="0"/>
            <wp:positionH relativeFrom="margin">
              <wp:align>left</wp:align>
            </wp:positionH>
            <wp:positionV relativeFrom="paragraph">
              <wp:posOffset>64411</wp:posOffset>
            </wp:positionV>
            <wp:extent cx="1752600" cy="1781175"/>
            <wp:effectExtent l="0" t="0" r="0" b="9525"/>
            <wp:wrapTight wrapText="bothSides">
              <wp:wrapPolygon edited="0">
                <wp:start x="0" y="0"/>
                <wp:lineTo x="0" y="21484"/>
                <wp:lineTo x="21365" y="21484"/>
                <wp:lineTo x="2136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52600" cy="1781175"/>
                    </a:xfrm>
                    <a:prstGeom prst="rect">
                      <a:avLst/>
                    </a:prstGeom>
                  </pic:spPr>
                </pic:pic>
              </a:graphicData>
            </a:graphic>
            <wp14:sizeRelH relativeFrom="page">
              <wp14:pctWidth>0</wp14:pctWidth>
            </wp14:sizeRelH>
            <wp14:sizeRelV relativeFrom="page">
              <wp14:pctHeight>0</wp14:pctHeight>
            </wp14:sizeRelV>
          </wp:anchor>
        </w:drawing>
      </w:r>
    </w:p>
    <w:p w:rsidR="00B56FF9" w:rsidRPr="00B56FF9" w:rsidRDefault="00A016E2" w:rsidP="00B56FF9">
      <w:pPr>
        <w:spacing w:before="100" w:beforeAutospacing="1" w:after="100" w:afterAutospacing="1"/>
        <w:outlineLvl w:val="2"/>
        <w:rPr>
          <w:rFonts w:ascii="Arial" w:eastAsia="Times New Roman" w:hAnsi="Arial" w:cs="Arial"/>
          <w:b/>
          <w:bCs/>
          <w:sz w:val="22"/>
          <w:lang w:val="en" w:eastAsia="en-CA"/>
        </w:rPr>
      </w:pPr>
      <w:hyperlink r:id="rId12" w:history="1">
        <w:r w:rsidR="00B56FF9" w:rsidRPr="00B56FF9">
          <w:rPr>
            <w:rFonts w:ascii="Arial" w:eastAsia="Times New Roman" w:hAnsi="Arial" w:cs="Arial"/>
            <w:b/>
            <w:bCs/>
            <w:color w:val="0000FF"/>
            <w:sz w:val="22"/>
            <w:u w:val="single"/>
            <w:lang w:val="en" w:eastAsia="en-CA"/>
          </w:rPr>
          <w:t>HR Connect RH</w:t>
        </w:r>
      </w:hyperlink>
      <w:r w:rsidR="00B56FF9" w:rsidRPr="00B56FF9">
        <w:rPr>
          <w:rFonts w:ascii="Arial" w:eastAsia="Times New Roman" w:hAnsi="Arial" w:cs="Arial"/>
          <w:b/>
          <w:bCs/>
          <w:sz w:val="22"/>
          <w:lang w:val="en" w:eastAsia="en-CA"/>
        </w:rPr>
        <w:t xml:space="preserve"> </w:t>
      </w:r>
    </w:p>
    <w:p w:rsidR="00B56FF9" w:rsidRPr="00B56FF9" w:rsidRDefault="00B56FF9" w:rsidP="00B56FF9">
      <w:pPr>
        <w:spacing w:before="100" w:beforeAutospacing="1" w:after="100" w:afterAutospacing="1"/>
        <w:rPr>
          <w:rFonts w:ascii="Arial" w:eastAsia="Times New Roman" w:hAnsi="Arial" w:cs="Arial"/>
          <w:sz w:val="22"/>
          <w:lang w:val="en" w:eastAsia="en-CA"/>
        </w:rPr>
      </w:pPr>
      <w:r w:rsidRPr="00B56FF9">
        <w:rPr>
          <w:rFonts w:ascii="Arial" w:eastAsia="Times New Roman" w:hAnsi="Arial" w:cs="Arial"/>
          <w:sz w:val="22"/>
          <w:lang w:val="en" w:eastAsia="en-CA"/>
        </w:rPr>
        <w:t>HR Connect RH offers quick and easy access to civilian HR information, services and programs. </w:t>
      </w:r>
    </w:p>
    <w:p w:rsidR="00B56FF9" w:rsidRPr="00B56FF9" w:rsidRDefault="00B56FF9" w:rsidP="00B56FF9">
      <w:pPr>
        <w:spacing w:before="100" w:beforeAutospacing="1" w:after="100" w:afterAutospacing="1"/>
        <w:rPr>
          <w:rFonts w:ascii="Arial" w:eastAsia="Times New Roman" w:hAnsi="Arial" w:cs="Arial"/>
          <w:sz w:val="22"/>
          <w:lang w:val="en" w:eastAsia="en-CA"/>
        </w:rPr>
      </w:pPr>
      <w:r w:rsidRPr="00B56FF9">
        <w:rPr>
          <w:rFonts w:ascii="Arial" w:eastAsia="Times New Roman" w:hAnsi="Arial" w:cs="Arial"/>
          <w:sz w:val="22"/>
          <w:lang w:val="en" w:eastAsia="en-CA"/>
        </w:rPr>
        <w:t xml:space="preserve">Start here with a simple </w:t>
      </w:r>
      <w:hyperlink r:id="rId13" w:history="1">
        <w:r w:rsidRPr="00B56FF9">
          <w:rPr>
            <w:rFonts w:ascii="Arial" w:eastAsia="Times New Roman" w:hAnsi="Arial" w:cs="Arial"/>
            <w:color w:val="0000FF"/>
            <w:sz w:val="22"/>
            <w:u w:val="single"/>
            <w:lang w:val="en" w:eastAsia="en-CA"/>
          </w:rPr>
          <w:t>click</w:t>
        </w:r>
      </w:hyperlink>
      <w:r w:rsidRPr="00B56FF9">
        <w:rPr>
          <w:rFonts w:ascii="Arial" w:eastAsia="Times New Roman" w:hAnsi="Arial" w:cs="Arial"/>
          <w:sz w:val="22"/>
          <w:lang w:val="en" w:eastAsia="en-CA"/>
        </w:rPr>
        <w:t xml:space="preserve">, or call </w:t>
      </w:r>
      <w:r w:rsidRPr="00B56FF9">
        <w:rPr>
          <w:rFonts w:ascii="Arial" w:eastAsia="Times New Roman" w:hAnsi="Arial" w:cs="Arial"/>
          <w:b/>
          <w:bCs/>
          <w:sz w:val="22"/>
          <w:lang w:val="en" w:eastAsia="en-CA"/>
        </w:rPr>
        <w:t>1-833-747-6363</w:t>
      </w:r>
      <w:r w:rsidRPr="00B56FF9">
        <w:rPr>
          <w:rFonts w:ascii="Arial" w:eastAsia="Times New Roman" w:hAnsi="Arial" w:cs="Arial"/>
          <w:sz w:val="22"/>
          <w:lang w:val="en" w:eastAsia="en-CA"/>
        </w:rPr>
        <w:t>.</w:t>
      </w:r>
    </w:p>
    <w:p w:rsidR="00B56FF9" w:rsidRDefault="00B56FF9">
      <w:pPr>
        <w:rPr>
          <w:rFonts w:ascii="Arial" w:hAnsi="Arial" w:cs="Arial"/>
          <w:b/>
          <w:sz w:val="22"/>
          <w:lang w:val="en"/>
        </w:rPr>
      </w:pPr>
    </w:p>
    <w:p w:rsidR="00B56FF9" w:rsidRDefault="00B56FF9">
      <w:pPr>
        <w:rPr>
          <w:rFonts w:ascii="Arial" w:hAnsi="Arial" w:cs="Arial"/>
          <w:b/>
          <w:sz w:val="22"/>
          <w:lang w:val="en"/>
        </w:rPr>
      </w:pPr>
    </w:p>
    <w:p w:rsidR="00B56FF9" w:rsidRPr="00B56FF9" w:rsidRDefault="00B56FF9" w:rsidP="00B56FF9">
      <w:pPr>
        <w:rPr>
          <w:rFonts w:ascii="Arial" w:hAnsi="Arial" w:cs="Arial"/>
          <w:b/>
          <w:sz w:val="22"/>
          <w:lang w:val="en"/>
        </w:rPr>
      </w:pPr>
      <w:r>
        <w:rPr>
          <w:rFonts w:ascii="Arial" w:hAnsi="Arial" w:cs="Arial"/>
          <w:b/>
          <w:sz w:val="22"/>
          <w:lang w:val="en"/>
        </w:rPr>
        <w:br w:type="page"/>
      </w:r>
    </w:p>
    <w:p w:rsidR="00B56FF9" w:rsidRPr="00B56FF9" w:rsidRDefault="00B56FF9" w:rsidP="00B56FF9">
      <w:pPr>
        <w:rPr>
          <w:rFonts w:asciiTheme="minorHAnsi" w:hAnsiTheme="minorHAnsi" w:cstheme="minorHAnsi"/>
          <w:b/>
          <w:sz w:val="28"/>
          <w:szCs w:val="28"/>
        </w:rPr>
      </w:pPr>
      <w:r w:rsidRPr="00B56FF9">
        <w:rPr>
          <w:rFonts w:asciiTheme="minorHAnsi" w:hAnsiTheme="minorHAnsi" w:cstheme="minorHAnsi"/>
          <w:b/>
          <w:sz w:val="28"/>
          <w:szCs w:val="28"/>
        </w:rPr>
        <w:lastRenderedPageBreak/>
        <w:t xml:space="preserve">Staffing Delegation </w:t>
      </w:r>
      <w:r w:rsidRPr="00B56FF9">
        <w:rPr>
          <w:rFonts w:asciiTheme="minorHAnsi" w:eastAsia="Times New Roman" w:hAnsiTheme="minorHAnsi" w:cstheme="minorHAnsi"/>
          <w:b/>
          <w:bCs/>
          <w:sz w:val="28"/>
          <w:szCs w:val="28"/>
          <w:lang w:val="en" w:eastAsia="en-CA"/>
        </w:rPr>
        <w:t>Sub-delegation Training</w:t>
      </w:r>
    </w:p>
    <w:p w:rsidR="00B56FF9" w:rsidRPr="006F5B5B" w:rsidRDefault="00B56FF9" w:rsidP="00B56FF9">
      <w:pPr>
        <w:spacing w:before="100" w:beforeAutospacing="1" w:after="100" w:afterAutospacing="1"/>
        <w:textAlignment w:val="top"/>
        <w:rPr>
          <w:rFonts w:asciiTheme="minorHAnsi" w:eastAsia="Times New Roman" w:hAnsiTheme="minorHAnsi" w:cstheme="minorHAnsi"/>
          <w:szCs w:val="24"/>
          <w:lang w:val="en" w:eastAsia="en-CA"/>
        </w:rPr>
      </w:pPr>
      <w:r w:rsidRPr="006F5B5B">
        <w:rPr>
          <w:rFonts w:asciiTheme="minorHAnsi" w:eastAsia="Times New Roman" w:hAnsiTheme="minorHAnsi" w:cstheme="minorHAnsi"/>
          <w:szCs w:val="24"/>
          <w:lang w:val="en" w:eastAsia="en-CA"/>
        </w:rPr>
        <w:t xml:space="preserve">For the Department of National </w:t>
      </w:r>
      <w:proofErr w:type="spellStart"/>
      <w:r w:rsidRPr="006F5B5B">
        <w:rPr>
          <w:rFonts w:asciiTheme="minorHAnsi" w:eastAsia="Times New Roman" w:hAnsiTheme="minorHAnsi" w:cstheme="minorHAnsi"/>
          <w:szCs w:val="24"/>
          <w:lang w:val="en" w:eastAsia="en-CA"/>
        </w:rPr>
        <w:t>Defence</w:t>
      </w:r>
      <w:proofErr w:type="spellEnd"/>
      <w:r w:rsidRPr="006F5B5B">
        <w:rPr>
          <w:rFonts w:asciiTheme="minorHAnsi" w:eastAsia="Times New Roman" w:hAnsiTheme="minorHAnsi" w:cstheme="minorHAnsi"/>
          <w:szCs w:val="24"/>
          <w:lang w:val="en" w:eastAsia="en-CA"/>
        </w:rPr>
        <w:t xml:space="preserve">, the mandatory sub-delegation training consists of an online course, titled Staffing </w:t>
      </w:r>
      <w:hyperlink r:id="rId14" w:history="1">
        <w:r w:rsidRPr="006F5B5B">
          <w:rPr>
            <w:rFonts w:asciiTheme="minorHAnsi" w:eastAsia="Times New Roman" w:hAnsiTheme="minorHAnsi" w:cstheme="minorHAnsi"/>
            <w:color w:val="0000FF"/>
            <w:szCs w:val="24"/>
            <w:u w:val="single"/>
            <w:lang w:val="en" w:eastAsia="en-CA"/>
          </w:rPr>
          <w:t>Sub-delegation for Managers</w:t>
        </w:r>
      </w:hyperlink>
      <w:r w:rsidRPr="006F5B5B">
        <w:rPr>
          <w:rFonts w:asciiTheme="minorHAnsi" w:eastAsia="Times New Roman" w:hAnsiTheme="minorHAnsi" w:cstheme="minorHAnsi"/>
          <w:szCs w:val="24"/>
          <w:lang w:val="en" w:eastAsia="en-CA"/>
        </w:rPr>
        <w:t xml:space="preserve">, which is available through the </w:t>
      </w:r>
      <w:hyperlink r:id="rId15" w:history="1">
        <w:proofErr w:type="spellStart"/>
        <w:r w:rsidRPr="006F5B5B">
          <w:rPr>
            <w:rFonts w:asciiTheme="minorHAnsi" w:eastAsia="Times New Roman" w:hAnsiTheme="minorHAnsi" w:cstheme="minorHAnsi"/>
            <w:color w:val="0000FF"/>
            <w:szCs w:val="24"/>
            <w:u w:val="single"/>
            <w:lang w:val="en" w:eastAsia="en-CA"/>
          </w:rPr>
          <w:t>Defence</w:t>
        </w:r>
        <w:proofErr w:type="spellEnd"/>
        <w:r w:rsidRPr="006F5B5B">
          <w:rPr>
            <w:rFonts w:asciiTheme="minorHAnsi" w:eastAsia="Times New Roman" w:hAnsiTheme="minorHAnsi" w:cstheme="minorHAnsi"/>
            <w:color w:val="0000FF"/>
            <w:szCs w:val="24"/>
            <w:u w:val="single"/>
            <w:lang w:val="en" w:eastAsia="en-CA"/>
          </w:rPr>
          <w:t xml:space="preserve"> Learning Network</w:t>
        </w:r>
      </w:hyperlink>
      <w:r w:rsidRPr="006F5B5B">
        <w:rPr>
          <w:rFonts w:asciiTheme="minorHAnsi" w:eastAsia="Times New Roman" w:hAnsiTheme="minorHAnsi" w:cstheme="minorHAnsi"/>
          <w:szCs w:val="24"/>
          <w:lang w:val="en" w:eastAsia="en-CA"/>
        </w:rPr>
        <w:t xml:space="preserve"> (DLN).</w:t>
      </w:r>
    </w:p>
    <w:p w:rsidR="00B56FF9" w:rsidRPr="006F5B5B" w:rsidRDefault="00B56FF9" w:rsidP="00B56FF9">
      <w:pPr>
        <w:spacing w:before="100" w:beforeAutospacing="1" w:after="100" w:afterAutospacing="1"/>
        <w:textAlignment w:val="top"/>
        <w:rPr>
          <w:rFonts w:asciiTheme="minorHAnsi" w:eastAsia="Times New Roman" w:hAnsiTheme="minorHAnsi" w:cstheme="minorHAnsi"/>
          <w:szCs w:val="24"/>
          <w:lang w:val="en" w:eastAsia="en-CA"/>
        </w:rPr>
      </w:pPr>
      <w:r w:rsidRPr="006F5B5B">
        <w:rPr>
          <w:rFonts w:asciiTheme="minorHAnsi" w:eastAsia="Times New Roman" w:hAnsiTheme="minorHAnsi" w:cstheme="minorHAnsi"/>
          <w:szCs w:val="24"/>
          <w:lang w:val="en" w:eastAsia="en-CA"/>
        </w:rPr>
        <w:t>This online course gives reference to key elements of the Public Service Employment Act (PSEA), as well as directives and policies governing staffing. It explains the roles and responsibilities of the sub-delegated manager related to their accountability for staffing activities.</w:t>
      </w:r>
    </w:p>
    <w:p w:rsidR="00B56FF9" w:rsidRPr="006F5B5B" w:rsidRDefault="00B56FF9" w:rsidP="00B56FF9">
      <w:pPr>
        <w:spacing w:before="100" w:beforeAutospacing="1" w:after="100" w:afterAutospacing="1"/>
        <w:textAlignment w:val="top"/>
        <w:rPr>
          <w:rFonts w:asciiTheme="minorHAnsi" w:eastAsia="Times New Roman" w:hAnsiTheme="minorHAnsi" w:cstheme="minorHAnsi"/>
          <w:szCs w:val="24"/>
          <w:lang w:val="en" w:eastAsia="en-CA"/>
        </w:rPr>
      </w:pPr>
      <w:r w:rsidRPr="006F5B5B">
        <w:rPr>
          <w:rFonts w:asciiTheme="minorHAnsi" w:eastAsia="Times New Roman" w:hAnsiTheme="minorHAnsi" w:cstheme="minorHAnsi"/>
          <w:szCs w:val="24"/>
          <w:lang w:val="en" w:eastAsia="en-CA"/>
        </w:rPr>
        <w:t>The goal of this course is to enable sub-delegated managers to:</w:t>
      </w:r>
    </w:p>
    <w:p w:rsidR="00B56FF9" w:rsidRPr="006F5B5B" w:rsidRDefault="00B56FF9" w:rsidP="00B56FF9">
      <w:pPr>
        <w:numPr>
          <w:ilvl w:val="0"/>
          <w:numId w:val="1"/>
        </w:numPr>
        <w:spacing w:before="100" w:beforeAutospacing="1" w:after="100" w:afterAutospacing="1"/>
        <w:ind w:left="495"/>
        <w:textAlignment w:val="top"/>
        <w:rPr>
          <w:rFonts w:asciiTheme="minorHAnsi" w:eastAsia="Times New Roman" w:hAnsiTheme="minorHAnsi" w:cstheme="minorHAnsi"/>
          <w:szCs w:val="24"/>
          <w:lang w:val="en" w:eastAsia="en-CA"/>
        </w:rPr>
      </w:pPr>
      <w:r w:rsidRPr="006F5B5B">
        <w:rPr>
          <w:rFonts w:asciiTheme="minorHAnsi" w:eastAsia="Times New Roman" w:hAnsiTheme="minorHAnsi" w:cstheme="minorHAnsi"/>
          <w:szCs w:val="24"/>
          <w:lang w:val="en" w:eastAsia="en-CA"/>
        </w:rPr>
        <w:t xml:space="preserve">Make informed decisions and exercise their sub-delegated authority in accordance with various legislative and policy requirements; </w:t>
      </w:r>
    </w:p>
    <w:p w:rsidR="00B56FF9" w:rsidRPr="006F5B5B" w:rsidRDefault="00B56FF9" w:rsidP="00B56FF9">
      <w:pPr>
        <w:numPr>
          <w:ilvl w:val="0"/>
          <w:numId w:val="1"/>
        </w:numPr>
        <w:spacing w:before="100" w:beforeAutospacing="1" w:after="100" w:afterAutospacing="1"/>
        <w:ind w:left="495"/>
        <w:textAlignment w:val="top"/>
        <w:rPr>
          <w:rFonts w:asciiTheme="minorHAnsi" w:eastAsia="Times New Roman" w:hAnsiTheme="minorHAnsi" w:cstheme="minorHAnsi"/>
          <w:szCs w:val="24"/>
          <w:lang w:val="en" w:eastAsia="en-CA"/>
        </w:rPr>
      </w:pPr>
      <w:r w:rsidRPr="006F5B5B">
        <w:rPr>
          <w:rFonts w:asciiTheme="minorHAnsi" w:eastAsia="Times New Roman" w:hAnsiTheme="minorHAnsi" w:cstheme="minorHAnsi"/>
          <w:szCs w:val="24"/>
          <w:lang w:val="en" w:eastAsia="en-CA"/>
        </w:rPr>
        <w:t>Ensure a balanced consideration of the core and guiding staffing values, which contributes to a strong staffing system and supports having the right person in the right position at the right time.</w:t>
      </w:r>
    </w:p>
    <w:p w:rsidR="00B56FF9" w:rsidRDefault="00B56FF9" w:rsidP="00B56FF9">
      <w:pPr>
        <w:spacing w:before="100" w:beforeAutospacing="1" w:after="100" w:afterAutospacing="1"/>
        <w:textAlignment w:val="top"/>
        <w:rPr>
          <w:rFonts w:asciiTheme="minorHAnsi" w:eastAsia="Times New Roman" w:hAnsiTheme="minorHAnsi" w:cstheme="minorHAnsi"/>
          <w:szCs w:val="24"/>
          <w:lang w:val="en" w:eastAsia="en-CA"/>
        </w:rPr>
      </w:pPr>
      <w:r w:rsidRPr="006F5B5B">
        <w:rPr>
          <w:rFonts w:asciiTheme="minorHAnsi" w:eastAsia="Times New Roman" w:hAnsiTheme="minorHAnsi" w:cstheme="minorHAnsi"/>
          <w:szCs w:val="24"/>
          <w:lang w:val="en" w:eastAsia="en-CA"/>
        </w:rPr>
        <w:t>Upon completion of the course and successfully passing the exam, managers will be required to submit a signed Appointment Sub-Delegation and Accountability Agreement before being sub-delegated appointment and appointment-related authorities.</w:t>
      </w:r>
    </w:p>
    <w:p w:rsidR="00B56FF9" w:rsidRPr="00B56FF9" w:rsidRDefault="00B56FF9">
      <w:pPr>
        <w:rPr>
          <w:rFonts w:ascii="Arial" w:hAnsi="Arial" w:cs="Arial"/>
          <w:b/>
          <w:sz w:val="22"/>
          <w:lang w:val="en"/>
        </w:rPr>
      </w:pPr>
    </w:p>
    <w:sectPr w:rsidR="00B56FF9" w:rsidRPr="00B56FF9" w:rsidSect="00B56FF9">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721C6"/>
    <w:multiLevelType w:val="multilevel"/>
    <w:tmpl w:val="CA28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F9"/>
    <w:rsid w:val="00505C6E"/>
    <w:rsid w:val="00A016E2"/>
    <w:rsid w:val="00B56F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62C0E-ACD0-4E98-8A0A-F223C7C8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FF9"/>
    <w:rPr>
      <w:rFonts w:cstheme="min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F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civ-rhciv.mil.ca/en/s-hr-contacts-centre-of-expertise.page" TargetMode="External"/><Relationship Id="rId13" Type="http://schemas.openxmlformats.org/officeDocument/2006/relationships/hyperlink" Target="ms-infopath:nft%7Cu%7Chttps://collaboration-hr-civ.forces.mil.ca/sites/HRC-CORE/HRCON/Connect%20Library/Forms/template.xsn" TargetMode="External"/><Relationship Id="rId3" Type="http://schemas.openxmlformats.org/officeDocument/2006/relationships/settings" Target="settings.xml"/><Relationship Id="rId7" Type="http://schemas.openxmlformats.org/officeDocument/2006/relationships/hyperlink" Target="http://hrciv-rhciv.mil.ca/en/index.page" TargetMode="External"/><Relationship Id="rId12" Type="http://schemas.openxmlformats.org/officeDocument/2006/relationships/hyperlink" Target="http://hrciv-rhciv.mil.ca/en/s-digital-hr-connect-rh.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dln-rad.mil.ca/login-lien/index-eng.jsp" TargetMode="External"/><Relationship Id="rId10" Type="http://schemas.openxmlformats.org/officeDocument/2006/relationships/hyperlink" Target="http://hrciv-rhciv.mil.ca/en/s-digital-hr-go-rh.pag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dln-rad.mil.ca/Saba/Web/Main/goto/RegisterLaunchCatalog?offeringId=dowbt000000001039290&amp;launchRegisteredOffering=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Knazan.P</dc:creator>
  <cp:keywords/>
  <dc:description/>
  <cp:lastModifiedBy>zutter.h</cp:lastModifiedBy>
  <cp:revision>2</cp:revision>
  <dcterms:created xsi:type="dcterms:W3CDTF">2021-05-27T19:07:00Z</dcterms:created>
  <dcterms:modified xsi:type="dcterms:W3CDTF">2021-05-27T19:07:00Z</dcterms:modified>
</cp:coreProperties>
</file>